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rFonts w:ascii="Arial" w:cs="Arial" w:hAnsi="Arial" w:eastAsia="Arial"/>
          <w:outline w:val="0"/>
          <w:color w:val="ff2600"/>
          <w:sz w:val="22"/>
          <w:szCs w:val="22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Name</w:t>
      </w:r>
    </w:p>
    <w:p>
      <w:pPr>
        <w:pStyle w:val="Normal.0"/>
        <w:spacing w:line="360" w:lineRule="auto"/>
        <w:rPr>
          <w:rFonts w:ascii="Arial" w:cs="Arial" w:hAnsi="Arial" w:eastAsia="Arial"/>
          <w:outline w:val="0"/>
          <w:color w:val="ff2600"/>
          <w:sz w:val="22"/>
          <w:szCs w:val="22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Adresse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right"/>
        <w:rPr>
          <w:rFonts w:ascii="Arial" w:cs="Arial" w:hAnsi="Arial" w:eastAsia="Arial"/>
          <w:outline w:val="0"/>
          <w:color w:val="ff2600"/>
          <w:u w:val="single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Ort, Datum</w:t>
      </w:r>
    </w:p>
    <w:p>
      <w:pPr>
        <w:pStyle w:val="Normal.0"/>
        <w:tabs>
          <w:tab w:val="left" w:pos="993"/>
        </w:tabs>
        <w:spacing w:line="360" w:lineRule="auto"/>
        <w:rPr>
          <w:rFonts w:ascii="Arial" w:cs="Arial" w:hAnsi="Arial" w:eastAsia="Arial"/>
          <w:u w:val="single"/>
        </w:rPr>
      </w:pPr>
    </w:p>
    <w:p>
      <w:pPr>
        <w:pStyle w:val="Normal.0"/>
        <w:tabs>
          <w:tab w:val="left" w:pos="993"/>
        </w:tabs>
        <w:spacing w:line="360" w:lineRule="auto"/>
        <w:rPr>
          <w:rFonts w:ascii="Arial" w:cs="Arial" w:hAnsi="Arial" w:eastAsia="Arial"/>
          <w:u w:val="single"/>
        </w:rPr>
      </w:pPr>
    </w:p>
    <w:p>
      <w:pPr>
        <w:pStyle w:val="Normal.0"/>
        <w:tabs>
          <w:tab w:val="left" w:pos="993"/>
        </w:tabs>
        <w:spacing w:line="360" w:lineRule="auto"/>
        <w:rPr>
          <w:rFonts w:ascii="Arial" w:cs="Arial" w:hAnsi="Arial" w:eastAsia="Arial"/>
          <w:outline w:val="0"/>
          <w:color w:val="ff2600"/>
          <w:sz w:val="22"/>
          <w:szCs w:val="22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Adresse des Absenders des Parteiengeh</w:t>
      </w:r>
      <w:r>
        <w:rPr>
          <w:rFonts w:ascii="Arial" w:hAnsi="Arial" w:hint="default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ö</w:t>
      </w: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rs -</w:t>
      </w:r>
    </w:p>
    <w:p>
      <w:pPr>
        <w:pStyle w:val="Normal.0"/>
        <w:tabs>
          <w:tab w:val="left" w:pos="993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jeweilige Dienstbeh</w:t>
      </w:r>
      <w:r>
        <w:rPr>
          <w:rFonts w:ascii="Arial" w:hAnsi="Arial" w:hint="default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ö</w:t>
      </w: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rde oder Bundesverwaltungsgericht</w:t>
      </w:r>
    </w:p>
    <w:p>
      <w:pPr>
        <w:pStyle w:val="Normal.0"/>
        <w:tabs>
          <w:tab w:val="left" w:pos="993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993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993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993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Stellungnahme im Rahmen des Parteiengeh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rs</w:t>
      </w:r>
    </w:p>
    <w:p>
      <w:pPr>
        <w:pStyle w:val="Normal.0"/>
        <w:tabs>
          <w:tab w:val="left" w:pos="993"/>
        </w:tabs>
        <w:spacing w:line="360" w:lineRule="auto"/>
        <w:rPr>
          <w:rFonts w:ascii="Arial" w:cs="Arial" w:hAnsi="Arial" w:eastAsia="Arial"/>
        </w:rPr>
      </w:pPr>
    </w:p>
    <w:p>
      <w:pPr>
        <w:pStyle w:val="Normal.0"/>
        <w:tabs>
          <w:tab w:val="left" w:pos="993"/>
        </w:tabs>
        <w:spacing w:line="360" w:lineRule="auto"/>
        <w:rPr>
          <w:rFonts w:ascii="Arial" w:cs="Arial" w:hAnsi="Arial" w:eastAsia="Arial"/>
        </w:rPr>
      </w:pPr>
    </w:p>
    <w:p>
      <w:pPr>
        <w:pStyle w:val="Normal.0"/>
        <w:tabs>
          <w:tab w:val="left" w:pos="993"/>
        </w:tabs>
        <w:spacing w:line="360" w:lineRule="auto"/>
        <w:rPr>
          <w:rFonts w:ascii="Arial" w:cs="Arial" w:hAnsi="Arial" w:eastAsia="Arial"/>
        </w:rPr>
      </w:pPr>
    </w:p>
    <w:p>
      <w:pPr>
        <w:pStyle w:val="Normal.0"/>
        <w:tabs>
          <w:tab w:val="left" w:pos="993"/>
        </w:tabs>
        <w:spacing w:line="360" w:lineRule="auto"/>
        <w:rPr>
          <w:rFonts w:ascii="Arial" w:cs="Arial" w:hAnsi="Arial" w:eastAsia="Arial"/>
          <w:outline w:val="0"/>
          <w:color w:val="ff2600"/>
          <w:sz w:val="22"/>
          <w:szCs w:val="22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sz w:val="22"/>
          <w:szCs w:val="22"/>
          <w:u w:val="single"/>
          <w:rtl w:val="0"/>
          <w:lang w:val="de-DE"/>
        </w:rPr>
        <w:t>Betrifft:</w:t>
      </w:r>
      <w:r>
        <w:rPr>
          <w:rFonts w:ascii="Arial" w:hAnsi="Arial"/>
          <w:sz w:val="22"/>
          <w:szCs w:val="22"/>
          <w:rtl w:val="0"/>
          <w:lang w:val="de-DE"/>
        </w:rPr>
        <w:t xml:space="preserve">  Gesch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ftszahl </w:t>
      </w:r>
      <w:r>
        <w:rPr>
          <w:rFonts w:ascii="Arial" w:hAnsi="Arial" w:hint="default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…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Am 08.07.2019 wurden im Rahmen der Besoldungsreform 2019 die neuen gesetzlichen Bestimmungen betreffend einer diskriminierungsfreien Anrechnung von Vordienstzeiten kundgemacht und 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ckwirkend in Kraft gesetzt. 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Mit meiner vormaligen Beschwerde in Bezug auf die von mir am </w:t>
      </w: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(</w:t>
      </w:r>
      <w:r>
        <w:rPr>
          <w:rFonts w:ascii="Arial" w:hAnsi="Arial"/>
          <w:i w:val="1"/>
          <w:iCs w:val="1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Datum der Antragstellung</w:t>
      </w: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 xml:space="preserve">) </w:t>
      </w:r>
      <w:r>
        <w:rPr>
          <w:rFonts w:ascii="Arial" w:hAnsi="Arial"/>
          <w:sz w:val="22"/>
          <w:szCs w:val="22"/>
          <w:rtl w:val="0"/>
          <w:lang w:val="de-DE"/>
        </w:rPr>
        <w:t xml:space="preserve">beantragte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Neufestsetzung meines Vorr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ckungsstichtags bzw. dementsprechende Neueinstufung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bek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mpfte ich bereits vor Inkrafttreten der Bestimmungen nach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sz w:val="22"/>
          <w:szCs w:val="22"/>
          <w:rtl w:val="0"/>
          <w:lang w:val="de-DE"/>
        </w:rPr>
        <w:t>169f Abs. 3 Gehg die Vorgangsweise des Dienstgebers, meine vor dem 18. Geburtstag liegenden Zeiten nicht anzurechnen bzw. diese Anrechnung mit einer 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ckwirkenden Verz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gerung meiner ersten Vorr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ckung um drei Jahre zu verkn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pfen. In diesem Zusammenhang haben die 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sterreichischen Verwaltungsgerichte in zahlreichen Entscheidungen die Rechtswidrigkeit dieser Vorgangsweise best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tigt und klargestellt, dass diese Zeiten gem. der damals geltenden Gesetzeslage anzurechnen sind und ohne Verz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gerung der Vorr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ckung zu einer entsprechenden Verbesserung der besoldungsrechtlichen Einstufung zu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hren haben, um die vom Eugh ger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gte Altersdiskriminierung (Fall H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tter) zu beseitigen. Demgem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äß </w:t>
      </w:r>
      <w:r>
        <w:rPr>
          <w:rFonts w:ascii="Arial" w:hAnsi="Arial"/>
          <w:sz w:val="22"/>
          <w:szCs w:val="22"/>
          <w:rtl w:val="0"/>
          <w:lang w:val="de-DE"/>
        </w:rPr>
        <w:t>war/ist auch der negative bzw. abweisende Bescheid meiner Dienstbeh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rde zu beheben, was zu der von mir begehrten Verbesserung samt Nachzahlung zu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hren hat. Stattdessen wurde mein Verfahren jedoch jahrelang unter wechselnder Begr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ndung ausgesetzt bzw. </w:t>
      </w:r>
      <w:r>
        <w:rPr>
          <w:rFonts w:ascii="Arial" w:hAnsi="Arial"/>
          <w:sz w:val="22"/>
          <w:szCs w:val="22"/>
          <w:rtl w:val="0"/>
          <w:lang w:val="de-DE"/>
        </w:rPr>
        <w:t>r</w:t>
      </w:r>
      <w:r>
        <w:rPr>
          <w:rFonts w:ascii="Arial" w:hAnsi="Arial"/>
          <w:sz w:val="22"/>
          <w:szCs w:val="22"/>
          <w:rtl w:val="0"/>
          <w:lang w:val="de-DE"/>
        </w:rPr>
        <w:t xml:space="preserve">uhend gestellt und wird erst jetzt nach einer neuerlichen Entscheidung des Eugh vom 8. Mai 2019 im Fall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Leitner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fortgef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hrt. Darin wurde nun sinngem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äß </w:t>
      </w:r>
      <w:r>
        <w:rPr>
          <w:rFonts w:ascii="Arial" w:hAnsi="Arial"/>
          <w:sz w:val="22"/>
          <w:szCs w:val="22"/>
          <w:rtl w:val="0"/>
          <w:lang w:val="de-DE"/>
        </w:rPr>
        <w:t>klargestellt, dass die 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ckwirkende Streichung der Bestimmungen zur Thematik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Vorr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ckungsstichtag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 xml:space="preserve">rechtswidrig war/ist, weil dadurch eine gerichtliche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fung (Anm.: Wie in meinem bis zu dieser Entscheidung ausgesetzten Verfahren erforderlich) verunm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glicht wird. Das BVerwG hat dazu am 27.06.2019 zu Zl. W213 2149874-1 folgende Klarstellung getroffen: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cs="Arial" w:hAnsi="Arial" w:eastAsia="Arial"/>
          <w:i w:val="1"/>
          <w:iCs w:val="1"/>
          <w:sz w:val="22"/>
          <w:szCs w:val="22"/>
          <w:shd w:val="clear" w:color="auto" w:fill="ffffff"/>
        </w:rPr>
      </w:pP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Wie sich nunmehr aus dem Urteil des EuGH vom 08.05.2019, C-396/17 (Rs. Leitner) ergibt, sind Art. 47 der Charta der Grundrechte der Europ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ischen Union und Art. 9 der Richtlinie 2000/78 dahin auszulegen, dass sie einer nationalen Regelung entgegenstehen, die den Umfang der Kontrolle, die von den nationalen Gerichten ausge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bt werden kann, einschr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nkt, indem Fragen im Zusammenhang mit der Grundlage des anhand des alten Besoldungs- und Vorr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ckungssystems berechneten "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berleitungsbetrags" ausgeschlossen werden.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>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left"/>
        <w:rPr>
          <w:rFonts w:ascii="Arial" w:cs="Arial" w:hAnsi="Arial" w:eastAsia="Arial"/>
          <w:i w:val="1"/>
          <w:iCs w:val="1"/>
          <w:sz w:val="22"/>
          <w:szCs w:val="22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left"/>
        <w:rPr>
          <w:sz w:val="28"/>
          <w:szCs w:val="28"/>
          <w:shd w:val="clear" w:color="auto" w:fill="ffffff"/>
        </w:rPr>
      </w:pPr>
    </w:p>
    <w:p>
      <w:pPr>
        <w:pStyle w:val="Normal.0"/>
        <w:numPr>
          <w:ilvl w:val="0"/>
          <w:numId w:val="2"/>
        </w:numPr>
        <w:spacing w:line="360" w:lineRule="auto"/>
        <w:rPr>
          <w:b w:val="1"/>
          <w:bCs w:val="1"/>
          <w:lang w:val="de-DE"/>
        </w:rPr>
      </w:pPr>
      <w:r>
        <w:rPr>
          <w:b w:val="1"/>
          <w:bCs w:val="1"/>
          <w:shd w:val="clear" w:color="auto" w:fill="ffffff"/>
          <w:rtl w:val="0"/>
          <w:lang w:val="de-DE"/>
        </w:rPr>
        <w:t>Notwendige Gleichbehandlung mit bereits entschiedenen F</w:t>
      </w:r>
      <w:r>
        <w:rPr>
          <w:b w:val="1"/>
          <w:bCs w:val="1"/>
          <w:shd w:val="clear" w:color="auto" w:fill="ffffff"/>
          <w:rtl w:val="0"/>
          <w:lang w:val="de-DE"/>
        </w:rPr>
        <w:t>ä</w:t>
      </w:r>
      <w:r>
        <w:rPr>
          <w:b w:val="1"/>
          <w:bCs w:val="1"/>
          <w:shd w:val="clear" w:color="auto" w:fill="ffffff"/>
          <w:rtl w:val="0"/>
          <w:lang w:val="de-DE"/>
        </w:rPr>
        <w:t>llen ist unter Ma</w:t>
      </w:r>
      <w:r>
        <w:rPr>
          <w:b w:val="1"/>
          <w:bCs w:val="1"/>
          <w:shd w:val="clear" w:color="auto" w:fill="ffffff"/>
          <w:rtl w:val="0"/>
          <w:lang w:val="de-DE"/>
        </w:rPr>
        <w:t>ß</w:t>
      </w:r>
      <w:r>
        <w:rPr>
          <w:b w:val="1"/>
          <w:bCs w:val="1"/>
          <w:shd w:val="clear" w:color="auto" w:fill="ffffff"/>
          <w:rtl w:val="0"/>
          <w:lang w:val="de-DE"/>
        </w:rPr>
        <w:t>gabe vormaliger Gesetzeslage und Anwendungsvorrang von Unionsrecht geboten!</w:t>
      </w:r>
    </w:p>
    <w:p>
      <w:pPr>
        <w:pStyle w:val="Normal.0"/>
        <w:spacing w:line="360" w:lineRule="auto"/>
        <w:rPr>
          <w:shd w:val="clear" w:color="auto" w:fill="ffffff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shd w:val="clear" w:color="auto" w:fill="ffffff"/>
          <w:rtl w:val="0"/>
          <w:lang w:val="de-DE"/>
        </w:rPr>
        <w:t>In</w:t>
      </w:r>
      <w:r>
        <w:rPr>
          <w:rFonts w:ascii="Arial" w:hAnsi="Arial"/>
          <w:sz w:val="22"/>
          <w:szCs w:val="22"/>
          <w:rtl w:val="0"/>
          <w:lang w:val="de-DE"/>
        </w:rPr>
        <w:t xml:space="preserve"> meinem Fall </w:t>
      </w:r>
      <w:r>
        <w:rPr>
          <w:rFonts w:ascii="Arial" w:hAnsi="Arial"/>
          <w:sz w:val="22"/>
          <w:szCs w:val="22"/>
          <w:rtl w:val="0"/>
          <w:lang w:val="de-DE"/>
        </w:rPr>
        <w:t>sind die</w:t>
      </w:r>
      <w:r>
        <w:rPr>
          <w:rFonts w:ascii="Arial" w:hAnsi="Arial"/>
          <w:sz w:val="22"/>
          <w:szCs w:val="22"/>
          <w:rtl w:val="0"/>
          <w:lang w:val="de-DE"/>
        </w:rPr>
        <w:t xml:space="preserve"> zum Antragszeitpunkt in Kraft stehenden Bestimmungen </w:t>
      </w:r>
      <w:r>
        <w:rPr>
          <w:rFonts w:ascii="Arial" w:hAnsi="Arial"/>
          <w:sz w:val="22"/>
          <w:szCs w:val="22"/>
          <w:rtl w:val="0"/>
          <w:lang w:val="de-DE"/>
        </w:rPr>
        <w:t>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 </w:t>
      </w:r>
      <w:r>
        <w:rPr>
          <w:rFonts w:ascii="Arial" w:hAnsi="Arial"/>
          <w:sz w:val="22"/>
          <w:szCs w:val="22"/>
          <w:rtl w:val="0"/>
          <w:lang w:val="de-DE"/>
        </w:rPr>
        <w:t>die Behebung der von mir bek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mpften Diskriminierung unter Anwendungsvorrang von Unionsrecht 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>(siehe dazu auch VwGH zu Zl 2012/12/0007)</w:t>
      </w:r>
      <w:r>
        <w:rPr>
          <w:rFonts w:ascii="Arial" w:hAnsi="Arial"/>
          <w:sz w:val="22"/>
          <w:szCs w:val="22"/>
          <w:rtl w:val="0"/>
          <w:lang w:val="de-DE"/>
        </w:rPr>
        <w:t xml:space="preserve"> ma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geblich</w:t>
      </w:r>
      <w:r>
        <w:rPr>
          <w:rFonts w:ascii="Arial" w:hAnsi="Arial"/>
          <w:sz w:val="22"/>
          <w:szCs w:val="22"/>
          <w:rtl w:val="0"/>
          <w:lang w:val="de-DE"/>
        </w:rPr>
        <w:t>. Die von der Dienstbeh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rde laut Mitteilung vom </w:t>
      </w: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(</w:t>
      </w:r>
      <w:r>
        <w:rPr>
          <w:rFonts w:ascii="Arial" w:hAnsi="Arial"/>
          <w:i w:val="1"/>
          <w:iCs w:val="1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Datum des Anschreibens</w:t>
      </w: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 xml:space="preserve">) </w:t>
      </w:r>
      <w:r>
        <w:rPr>
          <w:rFonts w:ascii="Arial" w:hAnsi="Arial"/>
          <w:sz w:val="22"/>
          <w:szCs w:val="22"/>
          <w:rtl w:val="0"/>
          <w:lang w:val="de-DE"/>
        </w:rPr>
        <w:t xml:space="preserve">beabsichtigte Ermittlung eines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Vergleichsstichtages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 xml:space="preserve">unter Anwendung der seit 9. Juli 2019 in Kraft stehenden Bestimmungen betreffend der Anrechnung sogenannter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sonstiger Zeiten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ist nicht durchzuf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hren</w:t>
      </w:r>
      <w:r>
        <w:rPr>
          <w:rFonts w:ascii="Arial" w:hAnsi="Arial"/>
          <w:sz w:val="22"/>
          <w:szCs w:val="22"/>
          <w:rtl w:val="0"/>
          <w:lang w:val="de-DE"/>
        </w:rPr>
        <w:t>, weil ich als Normunterworfener durch eine nunmehr 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ckwirkend in Kraft gesetzte Gesetzesbestimmung (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sz w:val="22"/>
          <w:szCs w:val="22"/>
          <w:rtl w:val="0"/>
          <w:lang w:val="de-DE"/>
        </w:rPr>
        <w:t>169g Abs. 4) infolge der Streichung von 4 Jahren sonstiger Zeiten gegen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ber der zu meinem Antragszeitpunkt geltenden Gesetzeslage eine Verschlechterung erfahre. 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Nur die von mir bereits vor der Besoldungsreform 2015 begehrte Neufestsetzung meines Vorr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ckungsstichtags und daraus resultierende Neueinstufung im Rahmen meines (Alt-)Verfahrens (siehe dazu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169f Abs. 3 GehG in der geltenden Fassung) unter direkter Anwendung von Unionsrecht kann die diskriminierungsfreie Anrechnung meiner sonstigen Zeiten vom Ende meiner Schulpflicht bis zum 18. Geburtstag sicherstellen.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de-DE"/>
        </w:rPr>
        <w:t>Das Bundesverwaltungsgericht hat nach dem Urteil des Eugh im Fall Leitner vom 08. Mai 2019 in dem oben zitierten Fall (Zl. W213 2149874-1) und anderen vergleichbaren 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llen dementsprechend entschieden und so die bek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mpfte Ungleichbehandlung behoben.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Die Zugrundelegung jener Rechtslage, wie sie vor der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berleitung im Februar 2015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mich in gleicher Weise gegolten hat, wie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diese genannten Verfahrensf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lle, muss daher im Sinne einer gebotenen Gleichbehandlung auch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meinen Fall erfolgen. Anderenfalls 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re der Anspruch auf die begehrte Verbesserung allein von dem Umstand abh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ngig, ob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die Beschwerde vor oder nach der Novellierung des Gehaltsgesetzes am 8. Juli 2019 entschieden wird und nicht davon, zu welchem Zeitpunkt man als Normunterworfener seine rechtm</w:t>
      </w:r>
      <w:r>
        <w:rPr>
          <w:rFonts w:ascii="Arial" w:hAnsi="Arial" w:hint="default"/>
          <w:sz w:val="22"/>
          <w:szCs w:val="22"/>
          <w:rtl w:val="0"/>
          <w:lang w:val="de-DE"/>
        </w:rPr>
        <w:t>äß</w:t>
      </w:r>
      <w:r>
        <w:rPr>
          <w:rFonts w:ascii="Arial" w:hAnsi="Arial"/>
          <w:sz w:val="22"/>
          <w:szCs w:val="22"/>
          <w:rtl w:val="0"/>
          <w:lang w:val="de-DE"/>
        </w:rPr>
        <w:t>igen Anspr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che geltend gemacht hat.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Die Durchsetzbarkeit von rechtm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äß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ig zustehenden Anspr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chen w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re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demnach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allein davon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bestimmt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, wie lange ein Verfahren ausgesetzt wird bzw. ob eine beh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rdliche/gerichtliche Entscheidung dar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ber fr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her oder sp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ter ergeht.</w:t>
      </w:r>
      <w:r>
        <w:rPr>
          <w:rFonts w:ascii="Arial" w:hAnsi="Arial"/>
          <w:sz w:val="22"/>
          <w:szCs w:val="22"/>
          <w:rtl w:val="0"/>
          <w:lang w:val="de-DE"/>
        </w:rPr>
        <w:t xml:space="preserve"> Gerade in der seit 2009 immer wieder </w:t>
      </w:r>
      <w:r>
        <w:rPr>
          <w:rFonts w:ascii="Arial" w:hAnsi="Arial"/>
          <w:sz w:val="22"/>
          <w:szCs w:val="22"/>
          <w:rtl w:val="0"/>
          <w:lang w:val="de-DE"/>
        </w:rPr>
        <w:t>bei den H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chstgerichten und dem Eugh</w:t>
      </w:r>
      <w:r>
        <w:rPr>
          <w:rFonts w:ascii="Arial" w:hAnsi="Arial"/>
          <w:sz w:val="22"/>
          <w:szCs w:val="22"/>
          <w:rtl w:val="0"/>
          <w:lang w:val="de-DE"/>
        </w:rPr>
        <w:t xml:space="preserve"> anh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ngigen Causa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Vorr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ckungsstichtag</w:t>
      </w:r>
      <w:r>
        <w:rPr>
          <w:rFonts w:ascii="Arial" w:hAnsi="Arial" w:hint="default"/>
          <w:sz w:val="22"/>
          <w:szCs w:val="22"/>
          <w:rtl w:val="0"/>
          <w:lang w:val="de-DE"/>
        </w:rPr>
        <w:t>“</w:t>
      </w:r>
      <w:r>
        <w:rPr>
          <w:rFonts w:ascii="Arial" w:hAnsi="Arial"/>
          <w:sz w:val="22"/>
          <w:szCs w:val="22"/>
          <w:rtl w:val="0"/>
          <w:lang w:val="de-DE"/>
        </w:rPr>
        <w:t>, war der Gesetzgeber mehrfach entweder nicht willens oder unf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hig, die gebotene Gleichbehandlung durch gesetzliche Neuregelungen, welche 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ckwirkend in Kraft gesetzt wurden, herzustellen. </w:t>
      </w:r>
      <w:r>
        <w:rPr>
          <w:rFonts w:ascii="Arial" w:hAnsi="Arial"/>
          <w:sz w:val="22"/>
          <w:szCs w:val="22"/>
          <w:rtl w:val="0"/>
          <w:lang w:val="de-DE"/>
        </w:rPr>
        <w:t xml:space="preserve">Es ist auch aus rechtsstaatlicher Sicht 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>davon auszugehen, dass dem</w:t>
      </w:r>
      <w:r>
        <w:rPr>
          <w:rFonts w:ascii="Arial" w:hAnsi="Arial"/>
          <w:sz w:val="22"/>
          <w:szCs w:val="22"/>
          <w:rtl w:val="0"/>
          <w:lang w:val="de-DE"/>
        </w:rPr>
        <w:t xml:space="preserve"> Gesetzgeber </w:t>
      </w:r>
      <w:r>
        <w:rPr>
          <w:rFonts w:ascii="Arial" w:hAnsi="Arial"/>
          <w:sz w:val="22"/>
          <w:szCs w:val="22"/>
          <w:rtl w:val="0"/>
          <w:lang w:val="de-DE"/>
        </w:rPr>
        <w:t xml:space="preserve">nicht </w:t>
      </w:r>
      <w:r>
        <w:rPr>
          <w:rFonts w:ascii="Arial" w:hAnsi="Arial"/>
          <w:sz w:val="22"/>
          <w:szCs w:val="22"/>
          <w:rtl w:val="0"/>
          <w:lang w:val="de-DE"/>
        </w:rPr>
        <w:t xml:space="preserve">das Recht </w:t>
      </w:r>
      <w:r>
        <w:rPr>
          <w:rFonts w:ascii="Arial" w:hAnsi="Arial"/>
          <w:sz w:val="22"/>
          <w:szCs w:val="22"/>
          <w:rtl w:val="0"/>
          <w:lang w:val="de-DE"/>
        </w:rPr>
        <w:t>einger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umt sein kann</w:t>
      </w:r>
      <w:r>
        <w:rPr>
          <w:rFonts w:ascii="Arial" w:hAnsi="Arial"/>
          <w:sz w:val="22"/>
          <w:szCs w:val="22"/>
          <w:rtl w:val="0"/>
          <w:lang w:val="de-DE"/>
        </w:rPr>
        <w:t xml:space="preserve">, </w:t>
      </w:r>
      <w:r>
        <w:rPr>
          <w:rFonts w:ascii="Arial" w:hAnsi="Arial"/>
          <w:sz w:val="22"/>
          <w:szCs w:val="22"/>
          <w:rtl w:val="0"/>
          <w:lang w:val="de-DE"/>
        </w:rPr>
        <w:t>sich durch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>eine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>von ihm verschuldete</w:t>
      </w:r>
      <w:r>
        <w:rPr>
          <w:rFonts w:ascii="Arial" w:hAnsi="Arial"/>
          <w:sz w:val="22"/>
          <w:szCs w:val="22"/>
          <w:rtl w:val="0"/>
          <w:lang w:val="de-DE"/>
        </w:rPr>
        <w:t xml:space="preserve"> unbotm</w:t>
      </w:r>
      <w:r>
        <w:rPr>
          <w:rFonts w:ascii="Arial" w:hAnsi="Arial" w:hint="default"/>
          <w:sz w:val="22"/>
          <w:szCs w:val="22"/>
          <w:rtl w:val="0"/>
          <w:lang w:val="de-DE"/>
        </w:rPr>
        <w:t>äß</w:t>
      </w:r>
      <w:r>
        <w:rPr>
          <w:rFonts w:ascii="Arial" w:hAnsi="Arial"/>
          <w:sz w:val="22"/>
          <w:szCs w:val="22"/>
          <w:rtl w:val="0"/>
          <w:lang w:val="de-DE"/>
        </w:rPr>
        <w:t>ig lange Verfahrensf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hrung </w:t>
      </w:r>
      <w:r>
        <w:rPr>
          <w:rFonts w:ascii="Arial" w:hAnsi="Arial"/>
          <w:sz w:val="22"/>
          <w:szCs w:val="22"/>
          <w:rtl w:val="0"/>
          <w:lang w:val="de-DE"/>
        </w:rPr>
        <w:t>mittels 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ckwirkender Gesetzes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nderungen der Kontrolle bzw. dem rechtsstaatlich gew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hrleisteten Korrektiv der Judikative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viele Jahre oder gar auf Dauer zu entziehen. Genau das 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re aber im Falle der Anwendung der besagten Bestimmungen gegeben. Demnach ist </w:t>
      </w:r>
      <w:r>
        <w:rPr>
          <w:rFonts w:ascii="Arial" w:hAnsi="Arial"/>
          <w:sz w:val="22"/>
          <w:szCs w:val="22"/>
          <w:rtl w:val="0"/>
          <w:lang w:val="de-DE"/>
        </w:rPr>
        <w:t>in meinem Fall (unter denselben rechtlichen Voraussetzungen</w:t>
      </w:r>
      <w:r>
        <w:rPr>
          <w:rFonts w:ascii="Arial" w:hAnsi="Arial"/>
          <w:sz w:val="22"/>
          <w:szCs w:val="22"/>
          <w:rtl w:val="0"/>
          <w:lang w:val="de-DE"/>
        </w:rPr>
        <w:t xml:space="preserve"> wie in anderen bereits positiv erledigten Verfahren)</w:t>
      </w:r>
      <w:r>
        <w:rPr>
          <w:rFonts w:ascii="Arial" w:hAnsi="Arial"/>
          <w:sz w:val="22"/>
          <w:szCs w:val="22"/>
          <w:rtl w:val="0"/>
          <w:lang w:val="de-DE"/>
        </w:rPr>
        <w:t xml:space="preserve">  </w:t>
      </w:r>
      <w:r>
        <w:rPr>
          <w:rFonts w:ascii="Arial" w:hAnsi="Arial"/>
          <w:sz w:val="22"/>
          <w:szCs w:val="22"/>
          <w:rtl w:val="0"/>
          <w:lang w:val="de-DE"/>
        </w:rPr>
        <w:t>genauso vorzugehen</w:t>
      </w:r>
      <w:r>
        <w:rPr>
          <w:rFonts w:ascii="Arial" w:hAnsi="Arial"/>
          <w:sz w:val="22"/>
          <w:szCs w:val="22"/>
          <w:rtl w:val="0"/>
          <w:lang w:val="de-DE"/>
        </w:rPr>
        <w:t xml:space="preserve">, wie dies </w:t>
      </w:r>
      <w:r>
        <w:rPr>
          <w:rFonts w:ascii="Arial" w:hAnsi="Arial"/>
          <w:sz w:val="22"/>
          <w:szCs w:val="22"/>
          <w:rtl w:val="0"/>
          <w:lang w:val="de-DE"/>
        </w:rPr>
        <w:t>bei dem vom Bundesverwaltungsgericht angef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hrten Verfahren bereits </w:t>
      </w:r>
      <w:r>
        <w:rPr>
          <w:rFonts w:ascii="Arial" w:hAnsi="Arial"/>
          <w:sz w:val="22"/>
          <w:szCs w:val="22"/>
          <w:rtl w:val="0"/>
          <w:lang w:val="de-DE"/>
        </w:rPr>
        <w:t>erfolgt</w:t>
      </w:r>
      <w:r>
        <w:rPr>
          <w:rFonts w:ascii="Arial" w:hAnsi="Arial"/>
          <w:sz w:val="22"/>
          <w:szCs w:val="22"/>
          <w:rtl w:val="0"/>
          <w:lang w:val="de-DE"/>
        </w:rPr>
        <w:t xml:space="preserve"> ist</w:t>
      </w:r>
      <w:r>
        <w:rPr>
          <w:rFonts w:ascii="Arial" w:hAnsi="Arial"/>
          <w:sz w:val="22"/>
          <w:szCs w:val="22"/>
          <w:rtl w:val="0"/>
          <w:lang w:val="de-DE"/>
        </w:rPr>
        <w:t xml:space="preserve">, </w:t>
      </w:r>
      <w:r>
        <w:rPr>
          <w:rFonts w:ascii="Arial" w:hAnsi="Arial"/>
          <w:sz w:val="22"/>
          <w:szCs w:val="22"/>
          <w:rtl w:val="0"/>
          <w:lang w:val="de-DE"/>
        </w:rPr>
        <w:t>um mich nicht einer</w:t>
      </w:r>
      <w:r>
        <w:rPr>
          <w:rFonts w:ascii="Arial" w:hAnsi="Arial"/>
          <w:sz w:val="22"/>
          <w:szCs w:val="22"/>
          <w:rtl w:val="0"/>
          <w:lang w:val="de-DE"/>
        </w:rPr>
        <w:t xml:space="preserve"> verfassungswidrige</w:t>
      </w:r>
      <w:r>
        <w:rPr>
          <w:rFonts w:ascii="Arial" w:hAnsi="Arial"/>
          <w:sz w:val="22"/>
          <w:szCs w:val="22"/>
          <w:rtl w:val="0"/>
          <w:lang w:val="de-DE"/>
        </w:rPr>
        <w:t>n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>Willk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 auszusetzen. 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2. Die Behebung der bek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mpften Diskriminierung erfolgt bei der beabsichtigten Anwendung von Bestimmungen nach aktueller Gesetzeslage abermals nicht!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Die von mir begehrte Nichtanwendung der neuen - seit 9. Juli 2019 in Kraft stehenden - Bestimmungen betreffend der Ermittlung eines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Vergleichsstichtages</w:t>
      </w:r>
      <w:r>
        <w:rPr>
          <w:rFonts w:ascii="Arial" w:hAnsi="Arial"/>
          <w:sz w:val="22"/>
          <w:szCs w:val="22"/>
          <w:rtl w:val="0"/>
          <w:lang w:val="de-DE"/>
        </w:rPr>
        <w:t xml:space="preserve"> ist schlie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lich auch aus folgenden Erw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gungen geboten. 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Wenngleich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die nunmehr vorgesehene Anrechnung unabh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ngig davon erfolgt, ob meine sonstigen Zeiten vor oder nach dem 18. Geburtstag liegen, wird die vormals festgeschriebene Ungleichbehandlung dennoch nicht behoben.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 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Dies deshalb, weil gem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 xml:space="preserve">äß §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169g Abs. 4 Gehg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von den sonstigen Zeiten 4 Jahre abgezogen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werden, wobei jedoch f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r jene Bediensteten, welche ein geringeres Ausma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 xml:space="preserve">ß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dieser Zeiten vorweisen, ein entsprechend geringerer oder auch gar kein Abzug erfolgt. 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Siehe dazu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 xml:space="preserve">§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169g Abs. 4: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Die zur H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lfte zu ber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cksichtigenden sonstigen Zeiten sind bei der Ermittlung des Vergleichsstichtags nur insoweit voranzustellen, als sie das Ausma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 xml:space="preserve">ß 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von vier zur H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lfte zu ber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 xml:space="preserve">cksichtigenden Jahren 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8f8f8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8f8f8"/>
          <w:rtl w:val="0"/>
          <w:lang w:val="de-DE"/>
        </w:rPr>
        <w:t>bersteigen.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Das bewirkt f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r jene Bediensteten, bei denen das Ausma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ß „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sonstiger Zeiten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“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weniger als 4 Jahre betr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gt und somit auch de facto nur ein entsprechend geringeres Ausma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ß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dieser Zeiten gestrichen werden kann, neuerlich die Perpetuierung ihrer Beg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nstigung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 bzw. meiner Benachteiligung.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F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r Beamte, die etwa vom 14. bis zum 18. Geburtstag keine derartigen Zeiten aufweisen und unmittelbar danach in den Bundesdienst eingetreten sind, ergibt die neue Gesetzeslage beispielsweise denselben Vergleichsstichtag, wie f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r jene Beamten, die diesbez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glich 4 Jahre dieser Zeiten aufweisen und zum selben Zeitpunkt eingetreten sind.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Dar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ber hinaus wird durch diese 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ckwirkende Streichung sonstiger Zeiten die Herstellung der Gleichbehandlung hinsichtlich jener Anspr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che verunm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ö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glicht, die im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-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durch meine vormalige Antragstellung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-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vor Verj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ä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hrung gesch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tzten Zeitraum liegen. Die Neufestsetzung meines Besoldungsdienstalters  </w:t>
      </w:r>
      <w:r>
        <w:rPr>
          <w:rFonts w:ascii="Arial" w:hAnsi="Arial"/>
          <w:sz w:val="22"/>
          <w:szCs w:val="22"/>
          <w:u w:val="single"/>
          <w:shd w:val="clear" w:color="auto" w:fill="ffffff"/>
          <w:rtl w:val="0"/>
          <w:lang w:val="de-DE"/>
        </w:rPr>
        <w:t>samt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allenfalls d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araus resultierende Differenzzahlungen erfolgen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f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r den Zeitraum vor Mai 2016 grunds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ä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tzlich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nur im Falle einer fr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heren Antragstellung (Altverfahren)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.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Die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B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estimmung nach 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169g Abs. 4 Gehg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, welche diese Verbesserung und Differenzzahlung bei mir verhindert,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entfaltet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f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r die Zeitspanne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vor dem Mai 2016 f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r jene Be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diensteten, die keinen Antrag gestellt haben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, jedoch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 keinerlei Wirkung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 xml:space="preserve">.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Somit kann s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chon allein aus diesem Grund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dadurch eine gegebene Ungleichbehandlung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nicht beseitigt werden.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Diese sachlich ungerechtfertigte Aufrechterhaltung einer Ungleichbehandlung widerstrebt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also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zus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ä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tzlich dem verfassungsrechtlich gebotenen 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ckwirkungsverbot von Gesetzes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ä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nderungen sowie auch der klaren Judikatur des EuGH, wonach jene Rechtslage anzuwenden ist, wie sie am Tag vor der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berleitung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(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12. Februar 2015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)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 in Kraft gestanden hat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.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 Siehe dazu auch nachstehenden Auszug aus der aktuellen Entscheidung des Eugh im Fall Leitner (RZ 75):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>Die Wiederherstellung der Gleichbehandlung impliziert, dass solange keine Ma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de-DE"/>
        </w:rPr>
        <w:t>ß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>nahmen zu ihrer Wiederherstellung erlassen wurden, den vom alten Besoldungs- und Vorr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>ckungssystem benachteiligten Beamten die gleichen Vorteile gew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>hrt werden wie den von diesem System beg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>nstigten Beamten, sowohl in Bezug auf die Ber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>cksichtigung vor Vollendung des 18. Lebensjahrs zur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>ckgelegter Vordienstzeiten als auch bei der Vorr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 xml:space="preserve">ckung in der Gehaltstabelle (vgl. in diesem Sinne Urteil vom 28. Januar 2015, Starjakob, C-417/13, EU:C:2015:38, Rn. 48). Die Wiederherstellung der Gleichbehandlung hat daher durch eine diskriminierungsgfreie 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 xml:space="preserve">berleitung zu erfolgen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de-DE"/>
        </w:rPr>
        <w:t xml:space="preserve">und bemisst sich unter Beachtung des Vorranges des Unionsrechts an jener Rechtslage,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u w:val="single"/>
          <w:shd w:val="clear" w:color="auto" w:fill="ffffff"/>
          <w:rtl w:val="0"/>
          <w:lang w:val="de-DE"/>
        </w:rPr>
        <w:t xml:space="preserve">wie sie am Tag vor der 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u w:val="single"/>
          <w:shd w:val="clear" w:color="auto" w:fill="ffffff"/>
          <w:rtl w:val="0"/>
          <w:lang w:val="de-DE"/>
        </w:rPr>
        <w:t>Ü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u w:val="single"/>
          <w:shd w:val="clear" w:color="auto" w:fill="ffffff"/>
          <w:rtl w:val="0"/>
          <w:lang w:val="de-DE"/>
        </w:rPr>
        <w:t>berleitung in Kraft gestanden hat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de-DE"/>
        </w:rPr>
        <w:t>.</w:t>
      </w: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  <w:tab/>
        <w:tab/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</w:pPr>
      <w:r>
        <w:rPr>
          <w:rFonts w:ascii="Arial" w:hAnsi="Arial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Unterschrift</w:t>
      </w:r>
    </w:p>
    <w:sectPr>
      <w:headerReference w:type="default" r:id="rId4"/>
      <w:footerReference w:type="default" r:id="rId5"/>
      <w:pgSz w:w="11900" w:h="16840" w:orient="portrait"/>
      <w:pgMar w:top="1417" w:right="1417" w:bottom="156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Fonts w:ascii="Arial" w:hAnsi="Arial"/>
        <w:sz w:val="22"/>
        <w:szCs w:val="22"/>
      </w:rPr>
      <w:fldChar w:fldCharType="begin" w:fldLock="0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 w:fldLock="0"/>
    </w:r>
    <w:r>
      <w:rPr>
        <w:rFonts w:ascii="Arial" w:hAnsi="Arial"/>
        <w:sz w:val="22"/>
        <w:szCs w:val="22"/>
      </w:rPr>
    </w:r>
    <w:r>
      <w:rPr>
        <w:rFonts w:ascii="Arial" w:hAnsi="Arial"/>
        <w:sz w:val="22"/>
        <w:szCs w:val="22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nothing"/>
      <w:lvlText w:val="%1."/>
      <w:lvlJc w:val="left"/>
      <w:pPr>
        <w:ind w:left="2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8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6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34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2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8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66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